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الســـيد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الوزير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التنقلات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"/>
        <w:bidiVisual w:val="1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992"/>
        <w:gridCol w:w="1276"/>
        <w:gridCol w:w="1276"/>
        <w:gridCol w:w="1984"/>
        <w:gridCol w:w="1701"/>
        <w:gridCol w:w="1276"/>
        <w:gridCol w:w="1101"/>
        <w:tblGridChange w:id="0">
          <w:tblGrid>
            <w:gridCol w:w="1100"/>
            <w:gridCol w:w="992"/>
            <w:gridCol w:w="1276"/>
            <w:gridCol w:w="1276"/>
            <w:gridCol w:w="1984"/>
            <w:gridCol w:w="1701"/>
            <w:gridCol w:w="1276"/>
            <w:gridCol w:w="110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المديرية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الكلي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المنقولين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تتوافر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لديهم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النقل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المتزوجات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تأمين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شاغر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الذكور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بحاجة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تأمين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شاغر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واعتماد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الشهداء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المنقولين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متزوجات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ذكور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الجاهزية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والدفاع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الوطني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عسكرية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المتزوجات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الذكور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الشاغر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/25/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الجاهزية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والدفاع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الوطني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الوزير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عسكرية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الراغبين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بالنقل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2019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- 2020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</w:p>
    <w:tbl>
      <w:tblPr>
        <w:tblStyle w:val="Table2"/>
        <w:bidiVisual w:val="1"/>
        <w:tblW w:w="9781.0" w:type="dxa"/>
        <w:jc w:val="left"/>
        <w:tblInd w:w="5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3261"/>
        <w:gridCol w:w="1842"/>
        <w:gridCol w:w="1843"/>
        <w:gridCol w:w="1985"/>
        <w:tblGridChange w:id="0">
          <w:tblGrid>
            <w:gridCol w:w="850"/>
            <w:gridCol w:w="3261"/>
            <w:gridCol w:w="1842"/>
            <w:gridCol w:w="1843"/>
            <w:gridCol w:w="1985"/>
          </w:tblGrid>
        </w:tblGridChange>
      </w:tblGrid>
      <w:tr>
        <w:tc>
          <w:tcPr/>
          <w:p w:rsidR="00000000" w:rsidDel="00000000" w:rsidP="00000000" w:rsidRDefault="00000000" w:rsidRPr="00000000" w14:paraId="00000039">
            <w:pPr>
              <w:bidi w:val="1"/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الاختصاص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منها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اليها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سهير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فطوم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حماة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إيمان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الحلاق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مثقال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المحمد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درعا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جنود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طرطوس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تركي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حماة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راوية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الخطيب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ليندا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عطا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العلي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الحسكة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رشا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فريز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الصبوح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عهود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زينة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اللاذقية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نبراس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اللطيف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اللطميني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ادلب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ريتا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سميا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5"/>
              </w:tabs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الصافتلي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هناء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حمود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أسعد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ماريانا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جبور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ابتسام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عباس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طرطوس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يسرى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حدادة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إدلب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نايف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الرقة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عدنان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اسماعيل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حلب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طرطوس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رشيد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الرقة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حلب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الخطيب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حماة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رجاء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الزعبي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درعا</w:t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كروم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الكليب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الزور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الحسكة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حافظ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عسكرية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القنيطرة</w:t>
            </w:r>
          </w:p>
        </w:tc>
      </w:tr>
    </w:tbl>
    <w:p w:rsidR="00000000" w:rsidDel="00000000" w:rsidP="00000000" w:rsidRDefault="00000000" w:rsidRPr="00000000" w14:paraId="000000BB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مشروع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التنقلات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2618680</wp:posOffset>
            </wp:positionH>
            <wp:positionV relativeFrom="paragraph">
              <wp:posOffset>124364</wp:posOffset>
            </wp:positionV>
            <wp:extent cx="955735" cy="73324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735" cy="733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E">
      <w:pPr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للمدرسين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المساعدين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خريجي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الرياضي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BF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/       /1440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شعبة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العسكرية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للعام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2019/2020</w:t>
      </w:r>
      <w:r w:rsidDel="00000000" w:rsidR="00000000" w:rsidRPr="00000000">
        <w:rPr>
          <w:b w:val="1"/>
          <w:sz w:val="24"/>
          <w:szCs w:val="24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الموافق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لـ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/     /2019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C1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543/ (4/24)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C3">
      <w:pPr>
        <w:bidi w:val="1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C4">
      <w:pPr>
        <w:bidi w:val="1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دمشق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دمشق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القنيطرة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السويداء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درعا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حمص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b w:val="1"/>
          <w:sz w:val="28"/>
          <w:szCs w:val="28"/>
          <w:rtl w:val="1"/>
        </w:rPr>
        <w:t xml:space="preserve">حماه</w:t>
      </w:r>
    </w:p>
    <w:p w:rsidR="00000000" w:rsidDel="00000000" w:rsidP="00000000" w:rsidRDefault="00000000" w:rsidRPr="00000000" w14:paraId="000000C5">
      <w:pPr>
        <w:bidi w:val="1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حلب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ادلب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اللاذقية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طرطوس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الحسكة</w:t>
      </w:r>
    </w:p>
    <w:p w:rsidR="00000000" w:rsidDel="00000000" w:rsidP="00000000" w:rsidRDefault="00000000" w:rsidRPr="00000000" w14:paraId="000000C6">
      <w:pPr>
        <w:bidi w:val="1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إشارة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1170/543(4/6)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28/2/2018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التنقلات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C7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نوافق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C8">
      <w:pPr>
        <w:bidi w:val="1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أسماؤهم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والبالغ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عددهم</w:t>
      </w:r>
      <w:r w:rsidDel="00000000" w:rsidR="00000000" w:rsidRPr="00000000">
        <w:rPr>
          <w:sz w:val="28"/>
          <w:szCs w:val="28"/>
          <w:rtl w:val="1"/>
        </w:rPr>
        <w:t xml:space="preserve"> /25/ </w:t>
      </w:r>
      <w:r w:rsidDel="00000000" w:rsidR="00000000" w:rsidRPr="00000000">
        <w:rPr>
          <w:sz w:val="28"/>
          <w:szCs w:val="28"/>
          <w:rtl w:val="1"/>
        </w:rPr>
        <w:t xml:space="preserve">شريطة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الدائمين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خاضعين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تشغيل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ريثما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وتأشيرها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للرقابة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C9">
      <w:pPr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للإطلاع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وإجراء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يلزم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أصولا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مسؤوليتكم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الوثائق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والثبوتيات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للنقل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والتدقيق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للذكور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والإناث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المتزوجات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b w:val="1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CA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CB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</w:p>
    <w:p w:rsidR="00000000" w:rsidDel="00000000" w:rsidP="00000000" w:rsidRDefault="00000000" w:rsidRPr="00000000" w14:paraId="000000CC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موفق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العزب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صورة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الوزير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الوزير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لنقابة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المعلمين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الجاهزية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الادارية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والتقني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0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لنشره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كخبر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لنشره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وإرساله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المحافظات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الشبكة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الإعلانات</w:t>
      </w:r>
    </w:p>
    <w:p w:rsidR="00000000" w:rsidDel="00000000" w:rsidP="00000000" w:rsidRDefault="00000000" w:rsidRPr="00000000" w14:paraId="000000DA">
      <w:pPr>
        <w:bidi w:val="1"/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المتزوجات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اللواتي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يتوافر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الشاغر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والاعتماد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</w:p>
    <w:tbl>
      <w:tblPr>
        <w:tblStyle w:val="Table3"/>
        <w:bidiVisual w:val="1"/>
        <w:tblW w:w="101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"/>
        <w:gridCol w:w="3468"/>
        <w:gridCol w:w="2949"/>
        <w:gridCol w:w="2788"/>
        <w:tblGridChange w:id="0">
          <w:tblGrid>
            <w:gridCol w:w="911"/>
            <w:gridCol w:w="3468"/>
            <w:gridCol w:w="2949"/>
            <w:gridCol w:w="2788"/>
          </w:tblGrid>
        </w:tblGridChange>
      </w:tblGrid>
      <w:tr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الثلاثي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منها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اليها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ريتا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أنيس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سميا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هناء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حمود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أسعد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ماريانا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جبور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وردة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حسن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دمشق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كاملة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نايف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ابراهيم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الرقة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يسرى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حدادة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ادلب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اللاذقية</w:t>
            </w:r>
          </w:p>
        </w:tc>
      </w:tr>
    </w:tbl>
    <w:p w:rsidR="00000000" w:rsidDel="00000000" w:rsidP="00000000" w:rsidRDefault="00000000" w:rsidRPr="00000000" w14:paraId="000000F7">
      <w:pPr>
        <w:bidi w:val="1"/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48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709" w:top="426" w:left="567" w:right="566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87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41F64"/>
    <w:pPr>
      <w:bidi w:val="1"/>
    </w:pPr>
  </w:style>
  <w:style w:type="paragraph" w:styleId="1">
    <w:name w:val="heading 1"/>
    <w:basedOn w:val="a"/>
    <w:next w:val="a"/>
    <w:link w:val="1Char"/>
    <w:qFormat w:val="1"/>
    <w:rsid w:val="007E71BD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basedOn w:val="a0"/>
    <w:link w:val="1"/>
    <w:rsid w:val="007E71BD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paragraph" w:styleId="a3">
    <w:name w:val="List Paragraph"/>
    <w:basedOn w:val="a"/>
    <w:uiPriority w:val="34"/>
    <w:qFormat w:val="1"/>
    <w:rsid w:val="007E71BD"/>
    <w:pPr>
      <w:ind w:left="720"/>
      <w:contextualSpacing w:val="1"/>
    </w:pPr>
  </w:style>
  <w:style w:type="table" w:styleId="a4">
    <w:name w:val="Table Grid"/>
    <w:basedOn w:val="a1"/>
    <w:uiPriority w:val="59"/>
    <w:rsid w:val="00B41F64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header"/>
    <w:basedOn w:val="a"/>
    <w:link w:val="Char"/>
    <w:uiPriority w:val="99"/>
    <w:semiHidden w:val="1"/>
    <w:unhideWhenUsed w:val="1"/>
    <w:rsid w:val="00B41F64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صفحة Char"/>
    <w:basedOn w:val="a0"/>
    <w:link w:val="a5"/>
    <w:uiPriority w:val="99"/>
    <w:semiHidden w:val="1"/>
    <w:rsid w:val="00B41F64"/>
  </w:style>
  <w:style w:type="paragraph" w:styleId="a6">
    <w:name w:val="footer"/>
    <w:basedOn w:val="a"/>
    <w:link w:val="Char0"/>
    <w:uiPriority w:val="99"/>
    <w:semiHidden w:val="1"/>
    <w:unhideWhenUsed w:val="1"/>
    <w:rsid w:val="00B41F64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صفحة Char"/>
    <w:basedOn w:val="a0"/>
    <w:link w:val="a6"/>
    <w:uiPriority w:val="99"/>
    <w:semiHidden w:val="1"/>
    <w:rsid w:val="00B41F6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styles" Target="styles.xml"/><Relationship Id="rId12" Type="http://schemas.openxmlformats.org/officeDocument/2006/relationships/footer" Target="footer3.xml"/><Relationship Id="rId8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7" Type="http://schemas.openxmlformats.org/officeDocument/2006/relationships/header" Target="header2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2019-07-30T07:37:00Z</dcterms:created>
  <dc:creator>DR.Ahmed Saker 2O14</dc:creator>
</cp:coreProperties>
</file>